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85" w:rsidRPr="00A94D89" w:rsidRDefault="00525E99" w:rsidP="00A94D89">
      <w:pPr>
        <w:pStyle w:val="Rubrik1"/>
      </w:pPr>
      <w:r w:rsidRPr="00A94D89">
        <w:t>Protokoll för kontroll och städning av den enskildes läkemedelsskåp</w:t>
      </w:r>
    </w:p>
    <w:p w:rsidR="008F3B85" w:rsidRPr="00A94D89" w:rsidRDefault="00525E99" w:rsidP="00A94D89">
      <w:pPr>
        <w:spacing w:after="240"/>
        <w:ind w:right="-40"/>
        <w:rPr>
          <w:rFonts w:eastAsia="Times New Roman"/>
          <w:szCs w:val="24"/>
        </w:rPr>
      </w:pPr>
      <w:r w:rsidRPr="00A94D89">
        <w:rPr>
          <w:rFonts w:eastAsia="Times New Roman"/>
          <w:szCs w:val="24"/>
        </w:rPr>
        <w:t>När sjuksköterska har övertagit hela eller delar av ansvaret för läkemedelshanteringen hos den enskilde ansvarar sjuksköterskan</w:t>
      </w:r>
      <w:r w:rsidRPr="00A94D89">
        <w:rPr>
          <w:rFonts w:eastAsia="Times New Roman"/>
          <w:color w:val="C00000"/>
          <w:szCs w:val="24"/>
        </w:rPr>
        <w:t xml:space="preserve"> </w:t>
      </w:r>
      <w:r w:rsidRPr="00A94D89">
        <w:rPr>
          <w:rFonts w:eastAsia="Times New Roman"/>
          <w:szCs w:val="24"/>
        </w:rPr>
        <w:t>för att en gång per månad utföra kontroll och städning i den enskildes läkemedelsskåp.</w:t>
      </w:r>
    </w:p>
    <w:p w:rsidR="008F3B85" w:rsidRPr="00A94D89" w:rsidRDefault="00525E99" w:rsidP="00A94D89">
      <w:pPr>
        <w:spacing w:after="240"/>
        <w:ind w:right="-40"/>
        <w:rPr>
          <w:rFonts w:eastAsia="Times New Roman"/>
          <w:szCs w:val="24"/>
        </w:rPr>
      </w:pPr>
      <w:r w:rsidRPr="00A94D89">
        <w:rPr>
          <w:rFonts w:eastAsia="Times New Roman"/>
          <w:szCs w:val="24"/>
        </w:rPr>
        <w:t>Sjuksköterskan kan tilldela arbetsuppgiften till annan person. Det förutsätter dock att personen har delegering för läkemedelshantering och att sjuksköterskan har givi</w:t>
      </w:r>
      <w:r w:rsidRPr="00A94D89">
        <w:rPr>
          <w:rFonts w:eastAsia="Times New Roman"/>
          <w:szCs w:val="24"/>
        </w:rPr>
        <w:t>t instruktion och tillsett att personen har rätt förutsättningar för uppgiften.</w:t>
      </w:r>
    </w:p>
    <w:p w:rsidR="008F3B85" w:rsidRPr="00A94D89" w:rsidRDefault="00525E99" w:rsidP="00A94D89">
      <w:pPr>
        <w:spacing w:after="240"/>
        <w:ind w:right="-40"/>
        <w:rPr>
          <w:rFonts w:eastAsia="Times New Roman"/>
          <w:szCs w:val="24"/>
        </w:rPr>
      </w:pPr>
      <w:r w:rsidRPr="00A94D89">
        <w:rPr>
          <w:rFonts w:eastAsia="Times New Roman"/>
          <w:szCs w:val="24"/>
        </w:rPr>
        <w:t>Läkemedel ska vara överskådligt ordnade och i fullgott skick = inga trasiga förpackningar eller lösa tabletter. Läkemedel i skåpet ska vara aktuella och avsedda att användas i</w:t>
      </w:r>
      <w:r w:rsidRPr="00A94D89">
        <w:rPr>
          <w:rFonts w:eastAsia="Times New Roman"/>
          <w:szCs w:val="24"/>
        </w:rPr>
        <w:t>nom rimlig tid, tex vid behovsläkemedel.</w:t>
      </w:r>
    </w:p>
    <w:p w:rsidR="008F3B85" w:rsidRPr="00A94D89" w:rsidRDefault="00525E99" w:rsidP="00A94D89">
      <w:pPr>
        <w:spacing w:after="240"/>
        <w:rPr>
          <w:rFonts w:eastAsia="Times New Roman"/>
          <w:b/>
          <w:szCs w:val="24"/>
        </w:rPr>
      </w:pPr>
      <w:r w:rsidRPr="00A94D89">
        <w:rPr>
          <w:rFonts w:eastAsia="Times New Roman"/>
          <w:b/>
          <w:szCs w:val="24"/>
        </w:rPr>
        <w:t>OBS!</w:t>
      </w:r>
      <w:r w:rsidRPr="00CD2846">
        <w:rPr>
          <w:rFonts w:eastAsia="Times New Roman"/>
          <w:b/>
          <w:szCs w:val="24"/>
        </w:rPr>
        <w:t xml:space="preserve"> Kontrollräkning av narkotiska läkemedel kan endast genomföras av sjuksköterska.</w:t>
      </w:r>
      <w:bookmarkStart w:id="0" w:name="_GoBack"/>
      <w:bookmarkEnd w:id="0"/>
    </w:p>
    <w:p w:rsidR="008F3B85" w:rsidRPr="00A94D89" w:rsidRDefault="00525E99" w:rsidP="00CD2846">
      <w:pPr>
        <w:pStyle w:val="Rubrik2"/>
      </w:pPr>
      <w:r w:rsidRPr="00A94D89">
        <w:t>Kontroll och städning</w:t>
      </w:r>
    </w:p>
    <w:p w:rsidR="008F3B85" w:rsidRPr="00A94D89" w:rsidRDefault="00525E99">
      <w:pPr>
        <w:spacing w:after="120"/>
        <w:ind w:right="100"/>
        <w:rPr>
          <w:rFonts w:eastAsia="Times New Roman"/>
          <w:szCs w:val="24"/>
          <w:highlight w:val="white"/>
        </w:rPr>
      </w:pPr>
      <w:r w:rsidRPr="00A94D89">
        <w:rPr>
          <w:rFonts w:eastAsia="Times New Roman"/>
          <w:szCs w:val="24"/>
        </w:rPr>
        <w:t>Genomgång av läkemedels hållbarhet ska göras en gång per månad och dokumenteras i protokollet liksom stä</w:t>
      </w:r>
      <w:r w:rsidRPr="00A94D89">
        <w:rPr>
          <w:rFonts w:eastAsia="Times New Roman"/>
          <w:szCs w:val="24"/>
        </w:rPr>
        <w:t xml:space="preserve">dningen av läkemedelsskåpet. </w:t>
      </w:r>
      <w:r w:rsidRPr="00A94D89">
        <w:rPr>
          <w:rFonts w:eastAsia="Times New Roman"/>
          <w:szCs w:val="24"/>
          <w:highlight w:val="white"/>
        </w:rPr>
        <w:t>Protokollet sparas på enheten i ett år.</w:t>
      </w:r>
    </w:p>
    <w:p w:rsidR="008F3B85" w:rsidRPr="00A94D89" w:rsidRDefault="00525E99">
      <w:pPr>
        <w:numPr>
          <w:ilvl w:val="0"/>
          <w:numId w:val="1"/>
        </w:numPr>
        <w:ind w:right="100"/>
        <w:rPr>
          <w:rFonts w:eastAsia="Times New Roman"/>
          <w:szCs w:val="24"/>
        </w:rPr>
      </w:pPr>
      <w:r w:rsidRPr="00A94D89">
        <w:rPr>
          <w:rFonts w:eastAsia="Times New Roman"/>
          <w:szCs w:val="24"/>
        </w:rPr>
        <w:t>Rengör läkemedelsskåpets insida och hyllor</w:t>
      </w:r>
    </w:p>
    <w:p w:rsidR="008F3B85" w:rsidRPr="00A94D89" w:rsidRDefault="00525E99">
      <w:pPr>
        <w:numPr>
          <w:ilvl w:val="0"/>
          <w:numId w:val="2"/>
        </w:numPr>
        <w:ind w:right="100"/>
        <w:rPr>
          <w:rFonts w:eastAsia="Times New Roman"/>
          <w:szCs w:val="24"/>
        </w:rPr>
      </w:pPr>
      <w:r w:rsidRPr="00A94D89">
        <w:rPr>
          <w:rFonts w:eastAsia="Times New Roman"/>
          <w:szCs w:val="24"/>
        </w:rPr>
        <w:t>Kontrollera att det finns brytdatum på förpackningar ex, insulinpenna, ögondroppar, salvor mm.</w:t>
      </w:r>
    </w:p>
    <w:p w:rsidR="008F3B85" w:rsidRPr="00A94D89" w:rsidRDefault="00525E99">
      <w:pPr>
        <w:numPr>
          <w:ilvl w:val="0"/>
          <w:numId w:val="2"/>
        </w:numPr>
        <w:ind w:right="100"/>
        <w:rPr>
          <w:rFonts w:eastAsia="Times New Roman"/>
          <w:szCs w:val="24"/>
        </w:rPr>
      </w:pPr>
      <w:r w:rsidRPr="00A94D89">
        <w:rPr>
          <w:rFonts w:eastAsia="Times New Roman"/>
          <w:szCs w:val="24"/>
        </w:rPr>
        <w:t>Kontrollera om något läkemedel passerat utgångs</w:t>
      </w:r>
      <w:r w:rsidRPr="00A94D89">
        <w:rPr>
          <w:rFonts w:eastAsia="Times New Roman"/>
          <w:szCs w:val="24"/>
        </w:rPr>
        <w:t xml:space="preserve">datum eller passerat användningstid </w:t>
      </w:r>
      <w:r w:rsidR="00A94D89">
        <w:rPr>
          <w:rFonts w:eastAsia="Times New Roman"/>
          <w:szCs w:val="24"/>
        </w:rPr>
        <w:t>t</w:t>
      </w:r>
      <w:r w:rsidRPr="00A94D89">
        <w:rPr>
          <w:rFonts w:eastAsia="Times New Roman"/>
          <w:szCs w:val="24"/>
        </w:rPr>
        <w:t>ex. ögondroppar, salvor, mm. Då läkemedel är patientens egendom ska läkemedel som tas från läkemedelsskåpet ske i samråd med patient/närstående. Efter samråd lämnas utgångna och inaktuella läkemedel till sjuksköterskan.</w:t>
      </w:r>
    </w:p>
    <w:p w:rsidR="00A94D89" w:rsidRPr="00A94D89" w:rsidRDefault="00525E99" w:rsidP="00A94D89">
      <w:pPr>
        <w:numPr>
          <w:ilvl w:val="0"/>
          <w:numId w:val="2"/>
        </w:numPr>
        <w:spacing w:after="120"/>
        <w:ind w:right="840"/>
        <w:rPr>
          <w:rFonts w:eastAsia="Times New Roman"/>
          <w:sz w:val="24"/>
          <w:szCs w:val="24"/>
        </w:rPr>
      </w:pPr>
      <w:r w:rsidRPr="00A94D89">
        <w:rPr>
          <w:rFonts w:eastAsia="Times New Roman"/>
          <w:szCs w:val="24"/>
        </w:rPr>
        <w:t>Behöver något beställas? Kontakta sjuksköterskan och informera om läkemedelsnamn, styrka samt hur lång tid nuvarande dos räcker.</w:t>
      </w:r>
      <w:r w:rsidR="00A94D89" w:rsidRPr="00A94D89">
        <w:rPr>
          <w:rFonts w:eastAsia="Times New Roman"/>
          <w:sz w:val="24"/>
          <w:szCs w:val="24"/>
        </w:rPr>
        <w:br w:type="page"/>
      </w:r>
    </w:p>
    <w:p w:rsidR="008F3B85" w:rsidRDefault="00525E99" w:rsidP="00A94D89">
      <w:pPr>
        <w:pStyle w:val="Rubrik2"/>
      </w:pPr>
      <w:r w:rsidRPr="00A94D89">
        <w:lastRenderedPageBreak/>
        <w:t>Skriv signatur efter utförd kontroll och städning av läkemedelsskåpet</w:t>
      </w:r>
    </w:p>
    <w:tbl>
      <w:tblPr>
        <w:tblStyle w:val="Tabellrutnt"/>
        <w:tblW w:w="8910" w:type="dxa"/>
        <w:tblLayout w:type="fixed"/>
        <w:tblLook w:val="06A0" w:firstRow="1" w:lastRow="0" w:firstColumn="1" w:lastColumn="0" w:noHBand="1" w:noVBand="1"/>
      </w:tblPr>
      <w:tblGrid>
        <w:gridCol w:w="685"/>
        <w:gridCol w:w="685"/>
        <w:gridCol w:w="686"/>
        <w:gridCol w:w="685"/>
        <w:gridCol w:w="685"/>
        <w:gridCol w:w="686"/>
        <w:gridCol w:w="685"/>
        <w:gridCol w:w="686"/>
        <w:gridCol w:w="685"/>
        <w:gridCol w:w="685"/>
        <w:gridCol w:w="686"/>
        <w:gridCol w:w="685"/>
        <w:gridCol w:w="686"/>
      </w:tblGrid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</w:rPr>
            </w:pPr>
            <w:r w:rsidRPr="00A94D89">
              <w:rPr>
                <w:b/>
                <w:sz w:val="18"/>
              </w:rPr>
              <w:t>Dag</w:t>
            </w:r>
          </w:p>
        </w:tc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Jan</w:t>
            </w:r>
          </w:p>
        </w:tc>
        <w:tc>
          <w:tcPr>
            <w:tcW w:w="686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Feb</w:t>
            </w:r>
          </w:p>
        </w:tc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Mars</w:t>
            </w:r>
          </w:p>
        </w:tc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April</w:t>
            </w:r>
          </w:p>
        </w:tc>
        <w:tc>
          <w:tcPr>
            <w:tcW w:w="686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Maj</w:t>
            </w:r>
          </w:p>
        </w:tc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Juni</w:t>
            </w:r>
          </w:p>
        </w:tc>
        <w:tc>
          <w:tcPr>
            <w:tcW w:w="686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Juli</w:t>
            </w:r>
          </w:p>
        </w:tc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Aug</w:t>
            </w:r>
          </w:p>
        </w:tc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proofErr w:type="spellStart"/>
            <w:r w:rsidRPr="00A94D89">
              <w:rPr>
                <w:b/>
                <w:sz w:val="18"/>
              </w:rPr>
              <w:t>Sept</w:t>
            </w:r>
            <w:proofErr w:type="spellEnd"/>
          </w:p>
        </w:tc>
        <w:tc>
          <w:tcPr>
            <w:tcW w:w="686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Okt</w:t>
            </w:r>
          </w:p>
        </w:tc>
        <w:tc>
          <w:tcPr>
            <w:tcW w:w="685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Nov</w:t>
            </w:r>
          </w:p>
        </w:tc>
        <w:tc>
          <w:tcPr>
            <w:tcW w:w="686" w:type="dxa"/>
            <w:vAlign w:val="center"/>
          </w:tcPr>
          <w:p w:rsidR="008F3B85" w:rsidRPr="00A94D89" w:rsidRDefault="00525E99" w:rsidP="00A94D89">
            <w:pPr>
              <w:rPr>
                <w:b/>
                <w:sz w:val="18"/>
              </w:rPr>
            </w:pPr>
            <w:r w:rsidRPr="00A94D89">
              <w:rPr>
                <w:b/>
                <w:sz w:val="18"/>
              </w:rPr>
              <w:t>Dec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  <w:tr w:rsidR="008F3B85" w:rsidRPr="00A94D89" w:rsidTr="00A94D89">
        <w:trPr>
          <w:trHeight w:val="510"/>
        </w:trPr>
        <w:tc>
          <w:tcPr>
            <w:tcW w:w="685" w:type="dxa"/>
            <w:vAlign w:val="center"/>
          </w:tcPr>
          <w:p w:rsidR="008F3B85" w:rsidRPr="00A94D89" w:rsidRDefault="00525E99" w:rsidP="00A94D89">
            <w:pPr>
              <w:jc w:val="center"/>
              <w:rPr>
                <w:b/>
                <w:sz w:val="16"/>
                <w:szCs w:val="16"/>
              </w:rPr>
            </w:pPr>
            <w:r w:rsidRPr="00A94D89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:rsidR="008F3B85" w:rsidRPr="00A94D89" w:rsidRDefault="00525E99">
            <w:pPr>
              <w:jc w:val="both"/>
              <w:rPr>
                <w:sz w:val="16"/>
                <w:szCs w:val="16"/>
              </w:rPr>
            </w:pPr>
            <w:r w:rsidRPr="00A94D89">
              <w:rPr>
                <w:sz w:val="16"/>
                <w:szCs w:val="16"/>
              </w:rPr>
              <w:t xml:space="preserve"> </w:t>
            </w:r>
          </w:p>
        </w:tc>
      </w:tr>
    </w:tbl>
    <w:p w:rsidR="008F3B85" w:rsidRPr="00A94D89" w:rsidRDefault="008F3B85" w:rsidP="00A94D89">
      <w:pPr>
        <w:spacing w:line="240" w:lineRule="auto"/>
        <w:jc w:val="both"/>
        <w:rPr>
          <w:sz w:val="16"/>
          <w:szCs w:val="16"/>
        </w:rPr>
      </w:pPr>
    </w:p>
    <w:sectPr w:rsidR="008F3B85" w:rsidRPr="00A94D8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99" w:rsidRDefault="00525E99">
      <w:pPr>
        <w:spacing w:line="240" w:lineRule="auto"/>
      </w:pPr>
      <w:r>
        <w:separator/>
      </w:r>
    </w:p>
  </w:endnote>
  <w:endnote w:type="continuationSeparator" w:id="0">
    <w:p w:rsidR="00525E99" w:rsidRDefault="00525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99" w:rsidRDefault="00525E99">
      <w:pPr>
        <w:spacing w:line="240" w:lineRule="auto"/>
      </w:pPr>
      <w:r>
        <w:separator/>
      </w:r>
    </w:p>
  </w:footnote>
  <w:footnote w:type="continuationSeparator" w:id="0">
    <w:p w:rsidR="00525E99" w:rsidRDefault="00525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B85" w:rsidRDefault="00525E99" w:rsidP="00A94D89">
    <w:pPr>
      <w:widowControl w:val="0"/>
      <w:tabs>
        <w:tab w:val="left" w:pos="3540"/>
      </w:tabs>
      <w:spacing w:after="240" w:line="240" w:lineRule="auto"/>
    </w:pPr>
    <w:r>
      <w:rPr>
        <w:noProof/>
      </w:rPr>
      <w:drawing>
        <wp:inline distT="114300" distB="114300" distL="114300" distR="114300">
          <wp:extent cx="1938600" cy="540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D252E"/>
    <w:multiLevelType w:val="multilevel"/>
    <w:tmpl w:val="3B967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725E23"/>
    <w:multiLevelType w:val="multilevel"/>
    <w:tmpl w:val="6D2E1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85"/>
    <w:rsid w:val="00525E99"/>
    <w:rsid w:val="008F3B85"/>
    <w:rsid w:val="00A94D89"/>
    <w:rsid w:val="00C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3CD3"/>
  <w15:docId w15:val="{5FA1BEB9-F407-496B-BF61-71BD8AC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rutnt">
    <w:name w:val="Table Grid"/>
    <w:basedOn w:val="Normaltabell"/>
    <w:uiPriority w:val="39"/>
    <w:rsid w:val="00A94D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94D8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4D89"/>
  </w:style>
  <w:style w:type="paragraph" w:styleId="Sidfot">
    <w:name w:val="footer"/>
    <w:basedOn w:val="Normal"/>
    <w:link w:val="SidfotChar"/>
    <w:uiPriority w:val="99"/>
    <w:unhideWhenUsed/>
    <w:rsid w:val="00A94D8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 kontroll och städning av den enskildes läkemedelsskåp</dc:title>
  <dc:creator>Linköpings kommun</dc:creator>
  <cp:lastModifiedBy>Restrup Evelina</cp:lastModifiedBy>
  <cp:revision>3</cp:revision>
  <dcterms:created xsi:type="dcterms:W3CDTF">2023-07-25T13:46:00Z</dcterms:created>
  <dcterms:modified xsi:type="dcterms:W3CDTF">2023-07-25T13:53:00Z</dcterms:modified>
</cp:coreProperties>
</file>