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Undertecknad intygar</w:t>
      </w:r>
      <w:r w:rsidDel="00000000" w:rsidR="00000000" w:rsidRPr="00000000">
        <w:rPr>
          <w:rtl w:val="0"/>
        </w:rPr>
        <w:t xml:space="preserve"> att kontrollpunkterna har utförts och samtliga angivna krav har uppfyllts</w:t>
      </w:r>
      <w:r w:rsidDel="00000000" w:rsidR="00000000" w:rsidRPr="00000000">
        <w:rPr>
          <w:rtl w:val="0"/>
        </w:rPr>
        <w:t xml:space="preserve">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0B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</w:t>
            </w:r>
            <w:r w:rsidDel="00000000" w:rsidR="00000000" w:rsidRPr="00000000">
              <w:rPr>
                <w:rtl w:val="0"/>
              </w:rPr>
              <w:t xml:space="preserve">E (Entreprenör</w:t>
            </w:r>
            <w:r w:rsidDel="00000000" w:rsidR="00000000" w:rsidRPr="00000000">
              <w:rPr>
                <w:rtl w:val="0"/>
              </w:rPr>
              <w:t xml:space="preserve">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0D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ervice.linkoping.se/BYGGKOMPL" TargetMode="External"/><Relationship Id="rId7" Type="http://schemas.openxmlformats.org/officeDocument/2006/relationships/hyperlink" Target="mailto:bygg@linkoping.s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